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Theme="minorEastAsia" w:hAnsiTheme="minorEastAsia" w:eastAsiaTheme="minorEastAsia"/>
              </w:rPr>
            </w:pPr>
            <w:r>
              <w:rPr>
                <w:rFonts w:hint="eastAsia" w:asciiTheme="minorEastAsia" w:hAnsiTheme="minorEastAsia" w:eastAsiaTheme="min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5" w:type="dxa"/>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3" w:type="dxa"/>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5" w:type="dxa"/>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r>
    </w:tbl>
    <w:p>
      <w:pPr>
        <w:pStyle w:val="0"/>
        <w:suppressAutoHyphens w:val="1"/>
        <w:wordWrap w:val="0"/>
        <w:spacing w:line="300" w:lineRule="exact"/>
        <w:jc w:val="left"/>
        <w:textAlignment w:val="baseline"/>
        <w:rPr>
          <w:rFonts w:hint="default"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令和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府　中　町　長　殿</w:t>
            </w:r>
          </w:p>
          <w:p>
            <w:pPr>
              <w:pStyle w:val="0"/>
              <w:suppressAutoHyphens w:val="1"/>
              <w:kinsoku w:val="0"/>
              <w:wordWrap w:val="0"/>
              <w:overflowPunct w:val="0"/>
              <w:autoSpaceDE w:val="0"/>
              <w:autoSpaceDN w:val="0"/>
              <w:adjustRightInd w:val="0"/>
              <w:spacing w:line="6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ind w:firstLine="5040" w:firstLineChars="2400"/>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申請者</w:t>
            </w:r>
          </w:p>
          <w:p>
            <w:pPr>
              <w:pStyle w:val="0"/>
              <w:suppressAutoHyphens w:val="1"/>
              <w:kinsoku w:val="0"/>
              <w:wordWrap w:val="0"/>
              <w:overflowPunct w:val="0"/>
              <w:autoSpaceDE w:val="0"/>
              <w:autoSpaceDN w:val="0"/>
              <w:adjustRightInd w:val="0"/>
              <w:spacing w:line="280" w:lineRule="exact"/>
              <w:jc w:val="left"/>
              <w:textAlignment w:val="baseline"/>
              <w:rPr>
                <w:rFonts w:hint="default" w:asciiTheme="minorEastAsia" w:hAnsiTheme="minorEastAsia" w:eastAsiaTheme="minorEastAsia"/>
                <w:kern w:val="0"/>
                <w:u w:val="single" w:color="00000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u w:val="single" w:color="000000"/>
              </w:rPr>
              <w:t>住　所　　　　　　　　　　　　　　　　　　　　</w:t>
            </w:r>
          </w:p>
          <w:p>
            <w:pPr>
              <w:pStyle w:val="0"/>
              <w:suppressAutoHyphens w:val="1"/>
              <w:kinsoku w:val="0"/>
              <w:wordWrap w:val="0"/>
              <w:overflowPunct w:val="0"/>
              <w:autoSpaceDE w:val="0"/>
              <w:autoSpaceDN w:val="0"/>
              <w:adjustRightInd w:val="0"/>
              <w:spacing w:line="280" w:lineRule="exac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000000"/>
              </w:rPr>
              <w:t>氏　名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sz w:val="16"/>
              </w:rPr>
            </w:pP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sz w:val="16"/>
              </w:rPr>
              <w:t>（名称及び代表者の氏名）</w:t>
            </w:r>
          </w:p>
          <w:p>
            <w:pPr>
              <w:pStyle w:val="0"/>
              <w:suppressAutoHyphens w:val="1"/>
              <w:kinsoku w:val="0"/>
              <w:wordWrap w:val="0"/>
              <w:overflowPunct w:val="0"/>
              <w:autoSpaceDE w:val="0"/>
              <w:autoSpaceDN w:val="0"/>
              <w:adjustRightInd w:val="0"/>
              <w:spacing w:line="240" w:lineRule="exact"/>
              <w:ind w:right="88" w:rightChars="42"/>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39"/>
              <w:jc w:val="left"/>
              <w:rPr>
                <w:rFonts w:hint="default" w:asciiTheme="minorEastAsia" w:hAnsiTheme="minorEastAsia" w:eastAsiaTheme="minorEastAsia"/>
                <w:color w:val="auto"/>
              </w:rPr>
            </w:pPr>
            <w:r>
              <w:rPr>
                <w:rFonts w:hint="eastAsia" w:asciiTheme="minorEastAsia" w:hAnsiTheme="minorEastAsia" w:eastAsiaTheme="minorEastAsia"/>
                <w:color w:val="auto"/>
              </w:rPr>
              <w:t>（表</w:t>
            </w:r>
            <w:r>
              <w:rPr>
                <w:rFonts w:hint="default" w:asciiTheme="minorEastAsia" w:hAnsiTheme="minorEastAsia" w:eastAsiaTheme="minorEastAsia"/>
                <w:color w:val="auto"/>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Theme="minorEastAsia" w:hAnsiTheme="minorEastAsia" w:eastAsiaTheme="minorEastAsia"/>
                      <w:spacing w:val="16"/>
                      <w:kern w:val="0"/>
                    </w:rPr>
                  </w:pPr>
                </w:p>
              </w:tc>
              <w:tc>
                <w:tcPr>
                  <w:tcW w:w="3265"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c>
                <w:tcPr>
                  <w:tcW w:w="3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r>
            <w:tr>
              <w:trPr>
                <w:trHeight w:val="381" w:hRule="atLeast"/>
              </w:trPr>
              <w:tc>
                <w:tcPr>
                  <w:tcW w:w="3263"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c>
                <w:tcPr>
                  <w:tcW w:w="3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c>
                <w:tcPr>
                  <w:tcW w:w="3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r>
          </w:tbl>
          <w:p>
            <w:pPr>
              <w:pStyle w:val="0"/>
              <w:suppressAutoHyphens w:val="1"/>
              <w:kinsoku w:val="0"/>
              <w:wordWrap w:val="0"/>
              <w:overflowPunct w:val="0"/>
              <w:autoSpaceDE w:val="0"/>
              <w:autoSpaceDN w:val="0"/>
              <w:adjustRightInd w:val="0"/>
              <w:spacing w:line="240" w:lineRule="exact"/>
              <w:ind w:left="212" w:leftChars="1" w:hanging="210" w:hangingChars="100"/>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　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記</w:t>
            </w:r>
          </w:p>
          <w:p>
            <w:pPr>
              <w:pStyle w:val="0"/>
              <w:suppressAutoHyphens w:val="1"/>
              <w:kinsoku w:val="0"/>
              <w:wordWrap w:val="0"/>
              <w:overflowPunct w:val="0"/>
              <w:autoSpaceDE w:val="0"/>
              <w:autoSpaceDN w:val="0"/>
              <w:adjustRightInd w:val="0"/>
              <w:spacing w:line="120" w:lineRule="exact"/>
              <w:jc w:val="left"/>
              <w:textAlignment w:val="baseline"/>
              <w:rPr>
                <w:rFonts w:hint="default" w:asciiTheme="minorEastAsia" w:hAnsiTheme="minorEastAsia" w:eastAsiaTheme="minorEastAsia"/>
                <w:spacing w:val="16"/>
                <w:kern w:val="0"/>
              </w:rPr>
            </w:pP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原油等の仕入単価の上昇　※上昇率が２０％以上</w:t>
            </w:r>
          </w:p>
          <w:p>
            <w:pPr>
              <w:pStyle w:val="0"/>
              <w:suppressAutoHyphens w:val="1"/>
              <w:kinsoku w:val="0"/>
              <w:wordWrap w:val="0"/>
              <w:overflowPunct w:val="0"/>
              <w:autoSpaceDE w:val="0"/>
              <w:autoSpaceDN w:val="0"/>
              <w:adjustRightInd w:val="0"/>
              <w:spacing w:line="240" w:lineRule="exact"/>
              <w:ind w:left="202" w:firstLine="105" w:firstLineChars="50"/>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Ｅ</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p>
          <w:p>
            <w:pPr>
              <w:pStyle w:val="0"/>
              <w:suppressAutoHyphens w:val="1"/>
              <w:kinsoku w:val="0"/>
              <w:wordWrap w:val="0"/>
              <w:overflowPunct w:val="0"/>
              <w:autoSpaceDE w:val="0"/>
              <w:autoSpaceDN w:val="0"/>
              <w:adjustRightInd w:val="0"/>
              <w:spacing w:line="360" w:lineRule="auto"/>
              <w:ind w:left="202" w:leftChars="96"/>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ｅ</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w:t>
            </w:r>
            <w:r>
              <w:rPr>
                <w:rFonts w:hint="default" w:asciiTheme="minorEastAsia" w:hAnsiTheme="minorEastAsia" w:eastAsiaTheme="minorEastAsia"/>
                <w:kern w:val="0"/>
              </w:rPr>
              <w:t>100</w:t>
            </w:r>
            <w:r>
              <w:rPr>
                <w:rFonts w:hint="eastAsia" w:asciiTheme="minorEastAsia" w:hAnsiTheme="minorEastAsia" w:eastAsiaTheme="minorEastAsia"/>
                <w:kern w:val="0"/>
              </w:rPr>
              <w:t>－</w:t>
            </w:r>
            <w:r>
              <w:rPr>
                <w:rFonts w:hint="default" w:asciiTheme="minorEastAsia" w:hAnsiTheme="minorEastAsia" w:eastAsiaTheme="minorEastAsia"/>
                <w:kern w:val="0"/>
              </w:rPr>
              <w:t>100</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u w:val="single" w:color="000000"/>
              </w:rPr>
              <w:t>上昇率　　　　　　　　％</w:t>
            </w:r>
          </w:p>
          <w:p>
            <w:pPr>
              <w:pStyle w:val="0"/>
              <w:suppressAutoHyphens w:val="1"/>
              <w:kinsoku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Ｅ：原油等の最近１か月間における平均仕入単価</w:t>
            </w: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rPr>
              <w:t xml:space="preserve">     </w:t>
            </w:r>
            <w:r>
              <w:rPr>
                <w:rFonts w:hint="eastAsia" w:asciiTheme="minorEastAsia" w:hAnsiTheme="minorEastAsia" w:eastAsiaTheme="minorEastAsia"/>
                <w:kern w:val="0"/>
                <w:u w:val="single" w:color="000000"/>
              </w:rPr>
              <w:t>　　　　　　　　　　　円（注）</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ｅ：Ｅの期間に対応する前年１か月間の平均仕入単価　</w:t>
            </w:r>
            <w:r>
              <w:rPr>
                <w:rFonts w:hint="eastAsia" w:asciiTheme="minorEastAsia" w:hAnsiTheme="minorEastAsia" w:eastAsiaTheme="minorEastAsia"/>
                <w:spacing w:val="16"/>
                <w:kern w:val="0"/>
                <w:sz w:val="18"/>
              </w:rPr>
              <w:t>　</w:t>
            </w:r>
            <w:r>
              <w:rPr>
                <w:rFonts w:hint="default" w:asciiTheme="minorEastAsia" w:hAnsiTheme="minorEastAsia" w:eastAsiaTheme="minorEastAsia"/>
                <w:spacing w:val="16"/>
                <w:kern w:val="0"/>
                <w:sz w:val="12"/>
              </w:rPr>
              <w:t xml:space="preserve">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p>
          <w:p>
            <w:pPr>
              <w:pStyle w:val="0"/>
              <w:suppressAutoHyphens w:val="1"/>
              <w:kinsoku w:val="0"/>
              <w:wordWrap w:val="0"/>
              <w:overflowPunct w:val="0"/>
              <w:autoSpaceDE w:val="0"/>
              <w:autoSpaceDN w:val="0"/>
              <w:adjustRightInd w:val="0"/>
              <w:spacing w:line="240" w:lineRule="exact"/>
              <w:ind w:left="202" w:leftChars="96"/>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②原油等が売上原価に占める割合　※依存率が２０％以上となっていること。</w:t>
            </w:r>
          </w:p>
          <w:p>
            <w:pPr>
              <w:pStyle w:val="0"/>
              <w:suppressAutoHyphens w:val="1"/>
              <w:kinsoku w:val="0"/>
              <w:wordWrap w:val="0"/>
              <w:overflowPunct w:val="0"/>
              <w:autoSpaceDE w:val="0"/>
              <w:autoSpaceDN w:val="0"/>
              <w:adjustRightInd w:val="0"/>
              <w:spacing w:line="240" w:lineRule="exact"/>
              <w:ind w:left="202" w:leftChars="96"/>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Ｓ</w:t>
            </w:r>
            <w:r>
              <w:rPr>
                <w:rFonts w:hint="default" w:asciiTheme="minorEastAsia" w:hAnsiTheme="minorEastAsia" w:eastAsiaTheme="minorEastAsia"/>
                <w:kern w:val="0"/>
                <w:u w:val="single" w:color="000000"/>
              </w:rPr>
              <w:t xml:space="preserve"> </w:t>
            </w:r>
          </w:p>
          <w:p>
            <w:pPr>
              <w:pStyle w:val="0"/>
              <w:suppressAutoHyphens w:val="1"/>
              <w:kinsoku w:val="0"/>
              <w:wordWrap w:val="0"/>
              <w:overflowPunct w:val="0"/>
              <w:autoSpaceDE w:val="0"/>
              <w:autoSpaceDN w:val="0"/>
              <w:adjustRightInd w:val="0"/>
              <w:spacing w:line="360" w:lineRule="auto"/>
              <w:ind w:left="202" w:leftChars="96"/>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Ｃ</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w:t>
            </w:r>
            <w:r>
              <w:rPr>
                <w:rFonts w:hint="default" w:asciiTheme="minorEastAsia" w:hAnsiTheme="minorEastAsia" w:eastAsiaTheme="minorEastAsia"/>
                <w:kern w:val="0"/>
              </w:rPr>
              <w:t xml:space="preserve">100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u w:val="single" w:color="000000"/>
              </w:rPr>
              <w:t>依存率</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kern w:val="0"/>
                <w:u w:val="single" w:color="00000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Ｃ：申込時点における最新の売上原価</w:t>
            </w:r>
            <w:r>
              <w:rPr>
                <w:rFonts w:hint="default" w:asciiTheme="minorEastAsia" w:hAnsiTheme="minorEastAsia" w:eastAsiaTheme="minorEastAsia"/>
                <w:spacing w:val="16"/>
                <w:kern w:val="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r>
              <w:rPr>
                <w:rFonts w:hint="default" w:asciiTheme="minorEastAsia" w:hAnsiTheme="minorEastAsia" w:eastAsiaTheme="minorEastAsia"/>
                <w:kern w:val="0"/>
                <w:u w:val="single" w:color="000000"/>
              </w:rPr>
              <w:t>1</w:t>
            </w:r>
            <w:r>
              <w:rPr>
                <w:rFonts w:hint="eastAsia" w:asciiTheme="minorEastAsia" w:hAnsiTheme="minorEastAsia" w:eastAsiaTheme="minorEastAsia"/>
                <w:kern w:val="0"/>
                <w:u w:val="single" w:color="000000"/>
              </w:rPr>
              <w:t>）</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Ｓ：Ｃの売上原価に対応する原油等の仕入価格</w:t>
            </w:r>
            <w:r>
              <w:rPr>
                <w:rFonts w:hint="default" w:asciiTheme="minorEastAsia" w:hAnsiTheme="minorEastAsia" w:eastAsiaTheme="minorEastAsia"/>
                <w:spacing w:val="16"/>
                <w:kern w:val="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r>
              <w:rPr>
                <w:rFonts w:hint="default" w:asciiTheme="minorEastAsia" w:hAnsiTheme="minorEastAsia" w:eastAsiaTheme="minorEastAsia"/>
                <w:kern w:val="0"/>
                <w:u w:val="single" w:color="000000"/>
              </w:rPr>
              <w:t>1</w:t>
            </w:r>
            <w:r>
              <w:rPr>
                <w:rFonts w:hint="eastAsia" w:asciiTheme="minorEastAsia" w:hAnsiTheme="minorEastAsia" w:eastAsiaTheme="minorEastAsia"/>
                <w:kern w:val="0"/>
                <w:u w:val="single" w:color="000000"/>
              </w:rPr>
              <w:t>）</w:t>
            </w:r>
          </w:p>
          <w:p>
            <w:pPr>
              <w:pStyle w:val="0"/>
              <w:suppressAutoHyphens w:val="1"/>
              <w:kinsoku w:val="0"/>
              <w:wordWrap w:val="0"/>
              <w:overflowPunct w:val="0"/>
              <w:autoSpaceDE w:val="0"/>
              <w:autoSpaceDN w:val="0"/>
              <w:adjustRightInd w:val="0"/>
              <w:spacing w:line="240" w:lineRule="exact"/>
              <w:ind w:left="202" w:leftChars="96"/>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③製品等価格への転嫁の状況　※Ｐ＞０となっていること。</w:t>
            </w:r>
          </w:p>
          <w:p>
            <w:pPr>
              <w:pStyle w:val="0"/>
              <w:suppressAutoHyphens w:val="1"/>
              <w:kinsoku w:val="0"/>
              <w:overflowPunct w:val="0"/>
              <w:autoSpaceDE w:val="0"/>
              <w:autoSpaceDN w:val="0"/>
              <w:adjustRightInd w:val="0"/>
              <w:spacing w:line="230" w:lineRule="exact"/>
              <w:ind w:left="202" w:leftChars="96"/>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Ａ</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u w:val="single" w:color="000000"/>
              </w:rPr>
              <w:t xml:space="preserve">  </w:t>
            </w:r>
            <w:r>
              <w:rPr>
                <w:rFonts w:hint="default" w:asciiTheme="minorEastAsia" w:hAnsiTheme="minorEastAsia" w:eastAsiaTheme="minorEastAsia"/>
                <w:kern w:val="0"/>
              </w:rPr>
              <w:t xml:space="preserve">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ａ</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rPr>
              <w:t>　　　　　　</w:t>
            </w:r>
          </w:p>
          <w:p>
            <w:pPr>
              <w:pStyle w:val="0"/>
              <w:suppressAutoHyphens w:val="1"/>
              <w:kinsoku w:val="0"/>
              <w:wordWrap w:val="0"/>
              <w:overflowPunct w:val="0"/>
              <w:autoSpaceDE w:val="0"/>
              <w:autoSpaceDN w:val="0"/>
              <w:adjustRightInd w:val="0"/>
              <w:spacing w:line="360" w:lineRule="auto"/>
              <w:ind w:left="202" w:leftChars="96"/>
              <w:jc w:val="righ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Ｂ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ｂ</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＝Ｐ</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Ｐ＝</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Ａ：申込時点における最近３か月間の原油等の仕入価格</w:t>
            </w:r>
            <w:r>
              <w:rPr>
                <w:rFonts w:hint="default" w:asciiTheme="minorEastAsia" w:hAnsiTheme="minorEastAsia" w:eastAsiaTheme="minorEastAsia"/>
                <w:spacing w:val="16"/>
                <w:kern w:val="0"/>
              </w:rPr>
              <w:t xml:space="preserve"> </w:t>
            </w:r>
            <w:r>
              <w:rPr>
                <w:rFonts w:hint="default" w:asciiTheme="minorEastAsia" w:hAnsiTheme="minorEastAsia" w:eastAsiaTheme="minorEastAsia"/>
                <w:spacing w:val="16"/>
                <w:kern w:val="0"/>
                <w:sz w:val="24"/>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r>
              <w:rPr>
                <w:rFonts w:hint="default" w:asciiTheme="minorEastAsia" w:hAnsiTheme="minorEastAsia" w:eastAsiaTheme="minorEastAsia"/>
                <w:kern w:val="0"/>
                <w:u w:val="single" w:color="000000"/>
              </w:rPr>
              <w:t>1</w:t>
            </w:r>
            <w:r>
              <w:rPr>
                <w:rFonts w:hint="eastAsia" w:asciiTheme="minorEastAsia" w:hAnsiTheme="minorEastAsia" w:eastAsiaTheme="minorEastAsia"/>
                <w:kern w:val="0"/>
                <w:u w:val="single" w:color="000000"/>
              </w:rPr>
              <w:t>）</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ａ：Ａの期間に対応する前年３か月間の原油等の仕入価格</w:t>
            </w:r>
            <w:r>
              <w:rPr>
                <w:rFonts w:hint="default" w:asciiTheme="minorEastAsia" w:hAnsiTheme="minorEastAsia" w:eastAsiaTheme="minorEastAsia"/>
                <w:spacing w:val="16"/>
                <w:kern w:val="0"/>
                <w:sz w:val="12"/>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r>
              <w:rPr>
                <w:rFonts w:hint="default" w:asciiTheme="minorEastAsia" w:hAnsiTheme="minorEastAsia" w:eastAsiaTheme="minorEastAsia"/>
                <w:kern w:val="0"/>
                <w:u w:val="single" w:color="000000"/>
              </w:rPr>
              <w:t>1</w:t>
            </w:r>
            <w:r>
              <w:rPr>
                <w:rFonts w:hint="eastAsia" w:asciiTheme="minorEastAsia" w:hAnsiTheme="minorEastAsia" w:eastAsiaTheme="minorEastAsia"/>
                <w:kern w:val="0"/>
                <w:u w:val="single" w:color="000000"/>
              </w:rPr>
              <w:t>）</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Ｂ：申込時点における最近３か月間の売上高</w:t>
            </w:r>
            <w:r>
              <w:rPr>
                <w:rFonts w:hint="default" w:asciiTheme="minorEastAsia" w:hAnsiTheme="minorEastAsia" w:eastAsiaTheme="minorEastAsia"/>
                <w:spacing w:val="16"/>
                <w:kern w:val="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r>
              <w:rPr>
                <w:rFonts w:hint="default" w:asciiTheme="minorEastAsia" w:hAnsiTheme="minorEastAsia" w:eastAsiaTheme="minorEastAsia"/>
                <w:kern w:val="0"/>
                <w:u w:val="single" w:color="000000"/>
              </w:rPr>
              <w:t>1</w:t>
            </w:r>
            <w:r>
              <w:rPr>
                <w:rFonts w:hint="eastAsia" w:asciiTheme="minorEastAsia" w:hAnsiTheme="minorEastAsia" w:eastAsiaTheme="minorEastAsia"/>
                <w:kern w:val="0"/>
                <w:u w:val="single" w:color="000000"/>
              </w:rPr>
              <w:t>）</w:t>
            </w:r>
          </w:p>
          <w:p>
            <w:pPr>
              <w:pStyle w:val="0"/>
              <w:suppressAutoHyphens w:val="1"/>
              <w:kinsoku w:val="0"/>
              <w:wordWrap w:val="0"/>
              <w:overflowPunct w:val="0"/>
              <w:autoSpaceDE w:val="0"/>
              <w:autoSpaceDN w:val="0"/>
              <w:adjustRightInd w:val="0"/>
              <w:spacing w:line="280" w:lineRule="exact"/>
              <w:ind w:left="202" w:leftChars="96"/>
              <w:jc w:val="righ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ｂ：Ｂの期間に対応する前年３か月間の売上高</w:t>
            </w:r>
            <w:r>
              <w:rPr>
                <w:rFonts w:hint="eastAsia" w:asciiTheme="minorEastAsia" w:hAnsiTheme="minorEastAsia" w:eastAsiaTheme="minorEastAsia"/>
                <w:kern w:val="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eastAsia"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円（注</w:t>
            </w:r>
            <w:r>
              <w:rPr>
                <w:rFonts w:hint="default" w:asciiTheme="minorEastAsia" w:hAnsiTheme="minorEastAsia" w:eastAsiaTheme="minorEastAsia"/>
                <w:kern w:val="0"/>
                <w:u w:val="single" w:color="000000"/>
              </w:rPr>
              <w:t>1</w:t>
            </w:r>
            <w:r>
              <w:rPr>
                <w:rFonts w:hint="eastAsia" w:asciiTheme="minorEastAsia" w:hAnsiTheme="minorEastAsia" w:eastAsiaTheme="minorEastAsia"/>
                <w:kern w:val="0"/>
                <w:u w:val="single" w:color="000000"/>
              </w:rPr>
              <w:t>）</w:t>
            </w:r>
          </w:p>
          <w:p>
            <w:pPr>
              <w:pStyle w:val="0"/>
              <w:suppressAutoHyphens w:val="1"/>
              <w:kinsoku w:val="0"/>
              <w:wordWrap w:val="0"/>
              <w:overflowPunct w:val="0"/>
              <w:autoSpaceDE w:val="0"/>
              <w:autoSpaceDN w:val="0"/>
              <w:adjustRightInd w:val="0"/>
              <w:spacing w:line="100" w:lineRule="exact"/>
              <w:jc w:val="left"/>
              <w:textAlignment w:val="baseline"/>
              <w:rPr>
                <w:rFonts w:hint="default" w:asciiTheme="minorEastAsia" w:hAnsiTheme="minorEastAsia" w:eastAsiaTheme="minorEastAsia"/>
                <w:spacing w:val="16"/>
                <w:kern w:val="0"/>
              </w:rPr>
            </w:pPr>
          </w:p>
        </w:tc>
      </w:tr>
    </w:tbl>
    <w:p>
      <w:pPr>
        <w:pStyle w:val="0"/>
        <w:spacing w:line="220" w:lineRule="exact"/>
        <w:ind w:left="-283" w:leftChars="-135" w:right="-426" w:rightChars="-203"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w:t>
      </w:r>
      <w:r>
        <w:rPr>
          <w:rFonts w:hint="eastAsia" w:asciiTheme="minorEastAsia" w:hAnsiTheme="minorEastAsia" w:eastAsiaTheme="minorEastAsia"/>
          <w:sz w:val="18"/>
        </w:rPr>
        <w:t>　本様式は、１つの指定業種に属する事業のみを営んでいる場合、又は営んでいる複数の事業が全て指定業種に属する</w:t>
      </w:r>
    </w:p>
    <w:p>
      <w:pPr>
        <w:pStyle w:val="0"/>
        <w:spacing w:line="220" w:lineRule="exact"/>
        <w:ind w:right="-426" w:rightChars="-203"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場合に使用する。</w:t>
      </w:r>
    </w:p>
    <w:p>
      <w:pPr>
        <w:pStyle w:val="0"/>
        <w:spacing w:line="220" w:lineRule="exact"/>
        <w:ind w:left="-283" w:leftChars="-135" w:right="-426" w:rightChars="-203"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1)</w:t>
      </w:r>
      <w:r>
        <w:rPr>
          <w:rFonts w:hint="eastAsia" w:asciiTheme="minorEastAsia" w:hAnsiTheme="minorEastAsia" w:eastAsiaTheme="minorEastAsia"/>
          <w:sz w:val="18"/>
        </w:rPr>
        <w:t>　申請者全体の値を記載。　</w:t>
      </w:r>
    </w:p>
    <w:p>
      <w:pPr>
        <w:pStyle w:val="0"/>
        <w:spacing w:line="220" w:lineRule="exact"/>
        <w:ind w:left="-424" w:leftChars="-202" w:firstLine="423" w:firstLineChars="235"/>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留意事項</w:t>
      </w:r>
      <w:r>
        <w:rPr>
          <w:rFonts w:hint="eastAsia" w:asciiTheme="minorEastAsia" w:hAnsiTheme="minorEastAsia" w:eastAsiaTheme="minorEastAsia"/>
          <w:sz w:val="18"/>
        </w:rPr>
        <w:t>)</w:t>
      </w:r>
    </w:p>
    <w:p>
      <w:pPr>
        <w:pStyle w:val="0"/>
        <w:spacing w:line="220" w:lineRule="exact"/>
        <w:ind w:left="-283" w:leftChars="-135" w:firstLine="425" w:firstLineChars="236"/>
        <w:rPr>
          <w:rFonts w:hint="default" w:asciiTheme="minorEastAsia" w:hAnsiTheme="minorEastAsia" w:eastAsiaTheme="minorEastAsia"/>
          <w:sz w:val="18"/>
        </w:rPr>
      </w:pPr>
      <w:r>
        <w:rPr>
          <w:rFonts w:hint="eastAsia" w:asciiTheme="minorEastAsia" w:hAnsiTheme="minorEastAsia" w:eastAsiaTheme="minorEastAsia"/>
          <w:sz w:val="18"/>
        </w:rPr>
        <w:t>①　本認定とは別に、金融機関及び信用保証協会による金融上の審査があります。</w:t>
      </w:r>
    </w:p>
    <w:p>
      <w:pPr>
        <w:pStyle w:val="0"/>
        <w:spacing w:line="220" w:lineRule="exact"/>
        <w:ind w:left="-283" w:leftChars="-135" w:right="-283" w:rightChars="-135" w:firstLine="425" w:firstLineChars="236"/>
        <w:rPr>
          <w:rFonts w:hint="default" w:asciiTheme="minorEastAsia" w:hAnsiTheme="minorEastAsia" w:eastAsiaTheme="minorEastAsia"/>
          <w:sz w:val="18"/>
        </w:rPr>
      </w:pPr>
      <w:r>
        <w:rPr>
          <w:rFonts w:hint="default" w:asciiTheme="minorEastAsia" w:hAnsiTheme="minorEastAsia" w:eastAsiaTheme="minorEastAsia"/>
          <w:sz w:val="18"/>
        </w:rPr>
        <w:t>②</w:t>
      </w:r>
      <w:r>
        <w:rPr>
          <w:rFonts w:hint="eastAsia" w:asciiTheme="minorEastAsia" w:hAnsiTheme="minorEastAsia" w:eastAsiaTheme="minorEastAsia"/>
          <w:sz w:val="18"/>
        </w:rPr>
        <w:t>　町長から認定を受けた後、本認定の有効期間内に金融機関又は信用保証協会に対して、経営安定関連保証の申込みを</w:t>
      </w:r>
    </w:p>
    <w:p>
      <w:pPr>
        <w:pStyle w:val="0"/>
        <w:spacing w:line="220" w:lineRule="exact"/>
        <w:ind w:left="-283" w:leftChars="-135" w:right="-283" w:rightChars="-135" w:firstLine="605" w:firstLineChars="336"/>
        <w:rPr>
          <w:rFonts w:hint="default" w:asciiTheme="minorEastAsia" w:hAnsiTheme="minorEastAsia" w:eastAsiaTheme="minorEastAsia"/>
          <w:sz w:val="18"/>
        </w:rPr>
      </w:pPr>
      <w:r>
        <w:rPr>
          <w:rFonts w:hint="eastAsia" w:asciiTheme="minorEastAsia" w:hAnsiTheme="minorEastAsia" w:eastAsiaTheme="minorEastAsia"/>
          <w:sz w:val="18"/>
        </w:rPr>
        <w:t>行うことが必要です。</w:t>
      </w:r>
    </w:p>
    <w:p>
      <w:pPr>
        <w:pStyle w:val="0"/>
        <w:ind w:firstLine="420" w:firstLineChars="200"/>
        <w:rPr>
          <w:rFonts w:hint="default" w:asciiTheme="minorEastAsia" w:hAnsiTheme="minorEastAsia" w:eastAsiaTheme="minorEastAsia"/>
        </w:rPr>
      </w:pPr>
    </w:p>
    <w:p>
      <w:pPr>
        <w:pStyle w:val="0"/>
        <w:ind w:firstLine="420" w:firstLineChars="200"/>
        <w:rPr>
          <w:rFonts w:hint="default" w:asciiTheme="minorEastAsia" w:hAnsiTheme="minorEastAsia" w:eastAsiaTheme="minorEastAsia"/>
        </w:rPr>
      </w:pPr>
      <w:r>
        <w:rPr>
          <w:rFonts w:hint="eastAsia" w:asciiTheme="minorEastAsia" w:hAnsiTheme="minorEastAsia" w:eastAsiaTheme="minorEastAsia"/>
        </w:rPr>
        <w:t>府自発第　　　号</w:t>
      </w:r>
    </w:p>
    <w:p>
      <w:pPr>
        <w:pStyle w:val="0"/>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rPr>
          <w:rFonts w:hint="default" w:asciiTheme="minorEastAsia" w:hAnsiTheme="minorEastAsia" w:eastAsiaTheme="minorEastAsia"/>
        </w:rPr>
      </w:pPr>
      <w:r>
        <w:rPr>
          <w:rFonts w:hint="eastAsia" w:asciiTheme="minorEastAsia" w:hAnsiTheme="minorEastAsia" w:eastAsiaTheme="minorEastAsia"/>
        </w:rPr>
        <w:t>　　　申請のとおり、相違ないことを認定します。</w:t>
      </w:r>
    </w:p>
    <w:p>
      <w:pPr>
        <w:pStyle w:val="0"/>
        <w:rPr>
          <w:rFonts w:hint="default" w:asciiTheme="minorEastAsia" w:hAnsiTheme="minorEastAsia" w:eastAsiaTheme="minorEastAsia"/>
        </w:rPr>
      </w:pPr>
      <w:r>
        <w:rPr>
          <w:rFonts w:hint="eastAsia" w:asciiTheme="minorEastAsia" w:hAnsiTheme="minorEastAsia" w:eastAsiaTheme="minorEastAsia"/>
        </w:rPr>
        <w:t>　　　本認定書の有効期間：　　　</w:t>
      </w:r>
      <w:r>
        <w:rPr>
          <w:rFonts w:hint="default" w:asciiTheme="minorEastAsia" w:hAnsiTheme="minorEastAsia" w:eastAsiaTheme="minorEastAsia"/>
        </w:rPr>
        <w:t xml:space="preserve"> </w:t>
      </w:r>
      <w:r>
        <w:rPr>
          <w:rFonts w:hint="eastAsia" w:asciiTheme="minorEastAsia" w:hAnsiTheme="minorEastAsia" w:eastAsiaTheme="minorEastAsia"/>
        </w:rPr>
        <w:t>年</w:t>
      </w:r>
      <w:r>
        <w:rPr>
          <w:rFonts w:hint="default" w:asciiTheme="minorEastAsia" w:hAnsiTheme="minorEastAsia" w:eastAsiaTheme="minorEastAsia"/>
        </w:rPr>
        <w:t xml:space="preserve"> </w:t>
      </w:r>
      <w:r>
        <w:rPr>
          <w:rFonts w:hint="eastAsia" w:asciiTheme="minorEastAsia" w:hAnsiTheme="minorEastAsia" w:eastAsiaTheme="minorEastAsia"/>
        </w:rPr>
        <w:t>　月</w:t>
      </w:r>
      <w:r>
        <w:rPr>
          <w:rFonts w:hint="default" w:asciiTheme="minorEastAsia" w:hAnsiTheme="minorEastAsia" w:eastAsiaTheme="minorEastAsia"/>
        </w:rPr>
        <w:t xml:space="preserve"> </w:t>
      </w:r>
      <w:r>
        <w:rPr>
          <w:rFonts w:hint="eastAsia" w:asciiTheme="minorEastAsia" w:hAnsiTheme="minorEastAsia" w:eastAsiaTheme="minorEastAsia"/>
        </w:rPr>
        <w:t>　日から　　</w:t>
      </w:r>
      <w:r>
        <w:rPr>
          <w:rFonts w:hint="default" w:asciiTheme="minorEastAsia" w:hAnsiTheme="minorEastAsia" w:eastAsiaTheme="minorEastAsia"/>
        </w:rPr>
        <w:t xml:space="preserve"> </w:t>
      </w:r>
      <w:r>
        <w:rPr>
          <w:rFonts w:hint="eastAsia" w:asciiTheme="minorEastAsia" w:hAnsiTheme="minorEastAsia" w:eastAsiaTheme="minorEastAsia"/>
        </w:rPr>
        <w:t>　年</w:t>
      </w:r>
      <w:r>
        <w:rPr>
          <w:rFonts w:hint="default" w:asciiTheme="minorEastAsia" w:hAnsiTheme="minorEastAsia" w:eastAsiaTheme="minorEastAsia"/>
        </w:rPr>
        <w:t xml:space="preserve"> </w:t>
      </w:r>
      <w:r>
        <w:rPr>
          <w:rFonts w:hint="eastAsia" w:asciiTheme="minorEastAsia" w:hAnsiTheme="minorEastAsia" w:eastAsiaTheme="minorEastAsia"/>
        </w:rPr>
        <w:t>　月</w:t>
      </w:r>
      <w:r>
        <w:rPr>
          <w:rFonts w:hint="default" w:asciiTheme="minorEastAsia" w:hAnsiTheme="minorEastAsia" w:eastAsiaTheme="minorEastAsia"/>
        </w:rPr>
        <w:t xml:space="preserve"> </w:t>
      </w:r>
      <w:r>
        <w:rPr>
          <w:rFonts w:hint="eastAsia" w:asciiTheme="minorEastAsia" w:hAnsiTheme="minorEastAsia" w:eastAsiaTheme="minorEastAsia"/>
        </w:rPr>
        <w:t>　日まで</w:t>
      </w:r>
    </w:p>
    <w:p>
      <w:pPr>
        <w:pStyle w:val="0"/>
        <w:spacing w:line="360" w:lineRule="auto"/>
        <w:ind w:firstLine="630" w:firstLineChars="300"/>
        <w:rPr>
          <w:rFonts w:hint="default" w:asciiTheme="minorEastAsia" w:hAnsiTheme="minorEastAsia" w:eastAsiaTheme="minorEastAsia"/>
        </w:rPr>
      </w:pPr>
      <w:r>
        <w:rPr>
          <w:rFonts w:hint="eastAsia" w:asciiTheme="minorEastAsia" w:hAnsiTheme="minorEastAsia" w:eastAsiaTheme="minorEastAsia"/>
        </w:rPr>
        <w:t>　　　　　　　　　　　　　　広島県安芸郡府中町長　　寺　尾　光　司</w:t>
      </w:r>
      <w:bookmarkStart w:id="0" w:name="_GoBack"/>
      <w:bookmarkEnd w:id="0"/>
    </w:p>
    <w:p>
      <w:pPr>
        <w:pStyle w:val="0"/>
        <w:spacing w:line="360" w:lineRule="auto"/>
        <w:ind w:firstLine="1050" w:firstLineChars="500"/>
        <w:rPr>
          <w:rFonts w:hint="default" w:ascii="ＭＳ 明朝" w:hAnsi="ＭＳ 明朝"/>
        </w:rPr>
      </w:pPr>
    </w:p>
    <w:p>
      <w:pPr>
        <w:pStyle w:val="0"/>
        <w:spacing w:line="360" w:lineRule="auto"/>
        <w:rPr>
          <w:rFonts w:hint="default" w:ascii="ＭＳ ゴシック" w:hAnsi="ＭＳ ゴシック" w:eastAsia="ＭＳ ゴシック"/>
          <w:kern w:val="0"/>
        </w:rPr>
      </w:pPr>
    </w:p>
    <w:p>
      <w:pPr>
        <w:pStyle w:val="0"/>
        <w:spacing w:line="360" w:lineRule="auto"/>
        <w:rPr>
          <w:rFonts w:hint="default" w:ascii="ＭＳ 明朝" w:hAnsi="ＭＳ 明朝"/>
          <w:color w:val="000000"/>
          <w:kern w:val="0"/>
        </w:rPr>
      </w:pPr>
      <w:r>
        <w:rPr>
          <w:rFonts w:hint="eastAsia" w:ascii="ＭＳ 明朝" w:hAnsi="ＭＳ 明朝"/>
          <w:color w:val="000000"/>
          <w:kern w:val="0"/>
        </w:rPr>
        <w:t>（留意事項）</w:t>
      </w:r>
    </w:p>
    <w:p>
      <w:pPr>
        <w:pStyle w:val="0"/>
        <w:suppressAutoHyphens w:val="1"/>
        <w:wordWrap w:val="0"/>
        <w:jc w:val="left"/>
        <w:textAlignment w:val="baseline"/>
        <w:rPr>
          <w:rFonts w:hint="default" w:ascii="ＭＳ 明朝" w:hAnsi="ＭＳ 明朝"/>
          <w:color w:val="000000"/>
          <w:spacing w:val="16"/>
          <w:kern w:val="0"/>
        </w:rPr>
      </w:pPr>
      <w:r>
        <w:rPr>
          <w:rFonts w:hint="eastAsia" w:ascii="ＭＳ 明朝" w:hAnsi="ＭＳ 明朝"/>
          <w:color w:val="000000"/>
          <w:kern w:val="0"/>
        </w:rPr>
        <w:t>　①　本認定とは別に、金融機関及び信用保証協会による金融上の審査があります。</w:t>
      </w:r>
    </w:p>
    <w:p>
      <w:pPr>
        <w:pStyle w:val="0"/>
        <w:suppressAutoHyphens w:val="1"/>
        <w:wordWrap w:val="0"/>
        <w:ind w:left="492" w:hanging="492"/>
        <w:jc w:val="left"/>
        <w:textAlignment w:val="baseline"/>
        <w:rPr>
          <w:rFonts w:hint="default" w:ascii="ＭＳ 明朝" w:hAnsi="ＭＳ 明朝"/>
          <w:color w:val="000000"/>
          <w:kern w:val="0"/>
        </w:rPr>
      </w:pPr>
      <w:r>
        <w:rPr>
          <w:rFonts w:hint="eastAsia" w:ascii="ＭＳ 明朝" w:hAnsi="ＭＳ 明朝"/>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left="492" w:hanging="492"/>
        <w:jc w:val="left"/>
        <w:textAlignment w:val="baseline"/>
        <w:rPr>
          <w:rFonts w:hint="default" w:ascii="ＭＳ 明朝" w:hAnsi="ＭＳ 明朝"/>
          <w:kern w:val="0"/>
        </w:rPr>
      </w:pPr>
    </w:p>
    <w:p>
      <w:pPr>
        <w:pStyle w:val="41"/>
        <w:spacing w:line="360" w:lineRule="auto"/>
        <w:rPr>
          <w:rFonts w:hint="default" w:ascii="ＭＳ 明朝" w:hAnsi="ＭＳ 明朝" w:eastAsia="ＭＳ 明朝"/>
          <w:color w:val="auto"/>
          <w:sz w:val="21"/>
        </w:rPr>
      </w:pPr>
      <w:r>
        <w:rPr>
          <w:rFonts w:hint="eastAsia" w:ascii="ＭＳ 明朝" w:hAnsi="ＭＳ 明朝" w:eastAsia="ＭＳ 明朝"/>
          <w:color w:val="auto"/>
          <w:sz w:val="21"/>
        </w:rPr>
        <w:t>（提出書類）</w:t>
      </w:r>
    </w:p>
    <w:p>
      <w:pPr>
        <w:pStyle w:val="41"/>
        <w:spacing w:line="360" w:lineRule="auto"/>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必要書類</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eastAsia" w:ascii="ＭＳ 明朝" w:hAnsi="ＭＳ 明朝" w:eastAsia="ＭＳ 明朝"/>
          <w:color w:val="auto"/>
          <w:sz w:val="21"/>
        </w:rPr>
        <w:t>印鑑登録を行った印を押印した認定申請書</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２部</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申請者の住所欄には、個人事業者は事業実態のある事業所の所在地を、法人の場合は登記上の住所地又は本店の所在地を、記載してください。</w:t>
      </w:r>
      <w:r>
        <w:rPr>
          <w:rFonts w:hint="default" w:ascii="ＭＳ 明朝" w:hAnsi="ＭＳ 明朝" w:eastAsia="ＭＳ 明朝"/>
          <w:color w:val="auto"/>
          <w:sz w:val="21"/>
        </w:rPr>
        <w:t xml:space="preserve"> </w:t>
      </w:r>
    </w:p>
    <w:p>
      <w:pPr>
        <w:pStyle w:val="41"/>
        <w:spacing w:line="360" w:lineRule="auto"/>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添付書類等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＜個人事業者＞</w:t>
      </w:r>
      <w:r>
        <w:rPr>
          <w:rFonts w:hint="default" w:ascii="ＭＳ 明朝" w:hAnsi="ＭＳ 明朝" w:eastAsia="ＭＳ 明朝"/>
          <w:color w:val="auto"/>
          <w:sz w:val="21"/>
        </w:rPr>
        <w:t xml:space="preserve"> </w:t>
      </w:r>
    </w:p>
    <w:p>
      <w:pPr>
        <w:pStyle w:val="41"/>
        <w:ind w:left="781" w:leftChars="199" w:hanging="363" w:hangingChars="173"/>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事業所の所在地の記載があれば、申告書第一表、青色申告決算書又は収支内訳書のいずれでも可。但し、税務署の収受印のあるもの又は受付番号の記載されたものに限る。</w:t>
      </w:r>
    </w:p>
    <w:p>
      <w:pPr>
        <w:pStyle w:val="41"/>
        <w:spacing w:line="360" w:lineRule="auto"/>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(2) </w:t>
      </w:r>
      <w:r>
        <w:rPr>
          <w:rFonts w:hint="eastAsia" w:ascii="ＭＳ 明朝" w:hAnsi="ＭＳ 明朝" w:eastAsia="ＭＳ 明朝"/>
          <w:color w:val="auto"/>
          <w:sz w:val="21"/>
        </w:rPr>
        <w:t>売上高等のわかるもの（試算表、売上台帳、仕入帳等）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＜法人＞</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法人登記履歴事項全部証明書（登記簿謄本等）（３か月以内）･･･１通</w:t>
      </w:r>
      <w:r>
        <w:rPr>
          <w:rFonts w:hint="default" w:ascii="ＭＳ 明朝" w:hAnsi="ＭＳ 明朝" w:eastAsia="ＭＳ 明朝"/>
          <w:color w:val="auto"/>
          <w:sz w:val="21"/>
        </w:rPr>
        <w:t xml:space="preserve"> </w:t>
      </w:r>
    </w:p>
    <w:p>
      <w:pPr>
        <w:pStyle w:val="0"/>
        <w:suppressAutoHyphens w:val="1"/>
        <w:wordWrap w:val="0"/>
        <w:ind w:left="540" w:leftChars="200" w:hanging="120" w:hangingChars="57"/>
        <w:jc w:val="left"/>
        <w:rPr>
          <w:rFonts w:hint="default"/>
        </w:rPr>
      </w:pPr>
      <w:r>
        <w:rPr>
          <w:rFonts w:hint="default" w:ascii="ＭＳ 明朝" w:hAnsi="ＭＳ 明朝"/>
        </w:rPr>
        <w:t xml:space="preserve">(2) </w:t>
      </w:r>
      <w:r>
        <w:rPr>
          <w:rFonts w:hint="eastAsia" w:ascii="ＭＳ 明朝" w:hAnsi="ＭＳ 明朝"/>
        </w:rPr>
        <w:t>売上高等のわかるもの（試算表、売上台帳、仕入帳等）</w:t>
      </w:r>
    </w:p>
    <w:sectPr>
      <w:pgSz w:w="11906" w:h="16838"/>
      <w:pgMar w:top="454" w:right="1134" w:bottom="680"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5C4BC88"/>
    <w:lvl w:ilvl="0" w:tplc="443C02A8">
      <w:start w:val="1"/>
      <w:numFmt w:val="decimalEnclosedCircle"/>
      <w:lvlText w:val="%1"/>
      <w:lvlJc w:val="left"/>
      <w:pPr>
        <w:ind w:left="562" w:hanging="360"/>
      </w:pPr>
      <w:rPr>
        <w:rFonts w:hint="default"/>
      </w:rPr>
    </w:lvl>
    <w:lvl w:ilvl="1" w:tplc="04090017">
      <w:start w:val="1"/>
      <w:numFmt w:val="aiueoFullWidth"/>
      <w:lvlText w:val="(%2)"/>
      <w:lvlJc w:val="left"/>
      <w:pPr>
        <w:ind w:left="1042" w:hanging="420"/>
      </w:pPr>
    </w:lvl>
    <w:lvl w:ilvl="2" w:tplc="04090011">
      <w:start w:val="1"/>
      <w:numFmt w:val="decimalEnclosedCircle"/>
      <w:lvlText w:val="%3"/>
      <w:lvlJc w:val="left"/>
      <w:pPr>
        <w:ind w:left="1462" w:hanging="420"/>
      </w:pPr>
    </w:lvl>
    <w:lvl w:ilvl="3" w:tplc="0409000F">
      <w:start w:val="1"/>
      <w:numFmt w:val="decimal"/>
      <w:lvlText w:val="%4."/>
      <w:lvlJc w:val="left"/>
      <w:pPr>
        <w:ind w:left="1882" w:hanging="420"/>
      </w:pPr>
    </w:lvl>
    <w:lvl w:ilvl="4" w:tplc="04090017">
      <w:start w:val="1"/>
      <w:numFmt w:val="aiueoFullWidth"/>
      <w:lvlText w:val="(%5)"/>
      <w:lvlJc w:val="left"/>
      <w:pPr>
        <w:ind w:left="2302" w:hanging="420"/>
      </w:pPr>
    </w:lvl>
    <w:lvl w:ilvl="5" w:tplc="04090011">
      <w:start w:val="1"/>
      <w:numFmt w:val="decimalEnclosedCircle"/>
      <w:lvlText w:val="%6"/>
      <w:lvlJc w:val="left"/>
      <w:pPr>
        <w:ind w:left="2722" w:hanging="420"/>
      </w:pPr>
    </w:lvl>
    <w:lvl w:ilvl="6" w:tplc="0409000F">
      <w:start w:val="1"/>
      <w:numFmt w:val="decimal"/>
      <w:lvlText w:val="%7."/>
      <w:lvlJc w:val="left"/>
      <w:pPr>
        <w:ind w:left="3142" w:hanging="420"/>
      </w:pPr>
    </w:lvl>
    <w:lvl w:ilvl="7" w:tplc="04090017">
      <w:start w:val="1"/>
      <w:numFmt w:val="aiueoFullWidth"/>
      <w:lvlText w:val="(%8)"/>
      <w:lvlJc w:val="left"/>
      <w:pPr>
        <w:ind w:left="3562" w:hanging="420"/>
      </w:pPr>
    </w:lvl>
    <w:lvl w:ilvl="8" w:tplc="04090011">
      <w:start w:val="1"/>
      <w:numFmt w:val="decimalEnclosedCircle"/>
      <w:lvlText w:val="%9"/>
      <w:lvlJc w:val="left"/>
      <w:pPr>
        <w:ind w:left="398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style>
  <w:style w:type="paragraph" w:styleId="33">
    <w:name w:val="Date"/>
    <w:basedOn w:val="0"/>
    <w:next w:val="0"/>
    <w:link w:val="34"/>
    <w:uiPriority w:val="0"/>
  </w:style>
  <w:style w:type="character" w:styleId="34" w:customStyle="1">
    <w:name w:val="日付 (文字)"/>
    <w:basedOn w:val="10"/>
    <w:next w:val="34"/>
    <w:link w:val="33"/>
    <w:uiPriority w:val="0"/>
    <w:rPr>
      <w:rFonts w:ascii="Century" w:hAnsi="Century" w:eastAsia="ＭＳ 明朝"/>
      <w:sz w:val="24"/>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1"/>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sz w:val="21"/>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sz w:val="21"/>
    </w:rPr>
  </w:style>
  <w:style w:type="paragraph" w:styleId="41" w:customStyle="1">
    <w:name w:val="Default"/>
    <w:next w:val="4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14</Words>
  <Characters>1414</Characters>
  <Application>JUST Note</Application>
  <Lines>89</Lines>
  <Paragraphs>57</Paragraphs>
  <Company>経済産業省</Company>
  <CharactersWithSpaces>2146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特定中小企業者認定要領</dc:title>
  <dc:creator>情報システム厚生課２</dc:creator>
  <cp:lastModifiedBy>桐田 彩加</cp:lastModifiedBy>
  <cp:lastPrinted>2021-07-15T07:04:00Z</cp:lastPrinted>
  <dcterms:created xsi:type="dcterms:W3CDTF">2017-05-11T05:55:00Z</dcterms:created>
  <dcterms:modified xsi:type="dcterms:W3CDTF">2024-05-27T07:54:34Z</dcterms:modified>
  <cp:revision>7</cp:revision>
</cp:coreProperties>
</file>